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B1" w:rsidRDefault="00504DA2" w:rsidP="00F54B57">
      <w:pPr>
        <w:jc w:val="center"/>
        <w:rPr>
          <w:b/>
        </w:rPr>
      </w:pPr>
      <w:r>
        <w:rPr>
          <w:noProof/>
        </w:rPr>
        <w:drawing>
          <wp:inline distT="0" distB="0" distL="0" distR="0" wp14:anchorId="1CC4CA73" wp14:editId="7F39D812">
            <wp:extent cx="638175" cy="107632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65" w:rsidRDefault="00905A65" w:rsidP="00F54B57">
      <w:pPr>
        <w:jc w:val="center"/>
        <w:rPr>
          <w:b/>
        </w:rPr>
      </w:pPr>
    </w:p>
    <w:p w:rsidR="00D63EB1" w:rsidRPr="00C93E4D" w:rsidRDefault="00264AA0" w:rsidP="00264AA0">
      <w:pPr>
        <w:jc w:val="center"/>
        <w:rPr>
          <w:b/>
          <w:sz w:val="26"/>
          <w:szCs w:val="26"/>
        </w:rPr>
      </w:pPr>
      <w:r w:rsidRPr="00C93E4D">
        <w:rPr>
          <w:b/>
          <w:sz w:val="26"/>
          <w:szCs w:val="26"/>
        </w:rPr>
        <w:t>СОВЕТ НОВОКРИВОШЕИНСКОГО СЕЛЬСКОГО ПОСЕЛЕНИЯ</w:t>
      </w:r>
    </w:p>
    <w:p w:rsidR="00905A65" w:rsidRPr="00C93E4D" w:rsidRDefault="00905A65" w:rsidP="00264AA0">
      <w:pPr>
        <w:jc w:val="center"/>
        <w:rPr>
          <w:b/>
          <w:sz w:val="26"/>
          <w:szCs w:val="26"/>
        </w:rPr>
      </w:pPr>
    </w:p>
    <w:p w:rsidR="00264AA0" w:rsidRPr="00C93E4D" w:rsidRDefault="00264AA0" w:rsidP="00264AA0">
      <w:pPr>
        <w:jc w:val="center"/>
        <w:rPr>
          <w:b/>
          <w:sz w:val="26"/>
          <w:szCs w:val="26"/>
        </w:rPr>
      </w:pPr>
      <w:r w:rsidRPr="00C93E4D">
        <w:rPr>
          <w:b/>
          <w:sz w:val="26"/>
          <w:szCs w:val="26"/>
        </w:rPr>
        <w:t>РЕШЕНИЕ</w:t>
      </w:r>
    </w:p>
    <w:p w:rsidR="00264AA0" w:rsidRPr="00C93E4D" w:rsidRDefault="00504DA2" w:rsidP="00264AA0">
      <w:pPr>
        <w:rPr>
          <w:sz w:val="26"/>
          <w:szCs w:val="26"/>
        </w:rPr>
      </w:pPr>
      <w:r w:rsidRPr="00C93E4D">
        <w:rPr>
          <w:sz w:val="26"/>
          <w:szCs w:val="26"/>
        </w:rPr>
        <w:t>14.11</w:t>
      </w:r>
      <w:r w:rsidR="00264AA0" w:rsidRPr="00C93E4D">
        <w:rPr>
          <w:sz w:val="26"/>
          <w:szCs w:val="26"/>
        </w:rPr>
        <w:t>.201</w:t>
      </w:r>
      <w:r w:rsidR="00F54B57" w:rsidRPr="00C93E4D">
        <w:rPr>
          <w:sz w:val="26"/>
          <w:szCs w:val="26"/>
        </w:rPr>
        <w:t xml:space="preserve">9                      </w:t>
      </w:r>
      <w:r w:rsidR="00D63EB1" w:rsidRPr="00C93E4D">
        <w:rPr>
          <w:sz w:val="26"/>
          <w:szCs w:val="26"/>
        </w:rPr>
        <w:t xml:space="preserve">                                                   </w:t>
      </w:r>
      <w:r w:rsidR="00C93E4D">
        <w:rPr>
          <w:sz w:val="26"/>
          <w:szCs w:val="26"/>
        </w:rPr>
        <w:t xml:space="preserve">                      </w:t>
      </w:r>
      <w:r w:rsidR="00D63EB1" w:rsidRPr="00C93E4D">
        <w:rPr>
          <w:sz w:val="26"/>
          <w:szCs w:val="26"/>
        </w:rPr>
        <w:t xml:space="preserve">              </w:t>
      </w:r>
      <w:r w:rsidR="00F54B57" w:rsidRPr="00C93E4D">
        <w:rPr>
          <w:sz w:val="26"/>
          <w:szCs w:val="26"/>
        </w:rPr>
        <w:t xml:space="preserve">     № </w:t>
      </w:r>
      <w:r w:rsidRPr="00C93E4D">
        <w:rPr>
          <w:sz w:val="26"/>
          <w:szCs w:val="26"/>
        </w:rPr>
        <w:t>127</w:t>
      </w:r>
    </w:p>
    <w:p w:rsidR="00F54B57" w:rsidRPr="00C93E4D" w:rsidRDefault="00F54B57" w:rsidP="00F54B57">
      <w:pPr>
        <w:jc w:val="center"/>
        <w:rPr>
          <w:sz w:val="26"/>
          <w:szCs w:val="26"/>
        </w:rPr>
      </w:pPr>
      <w:r w:rsidRPr="00C93E4D">
        <w:rPr>
          <w:sz w:val="26"/>
          <w:szCs w:val="26"/>
        </w:rPr>
        <w:t>с</w:t>
      </w:r>
      <w:proofErr w:type="gramStart"/>
      <w:r w:rsidRPr="00C93E4D">
        <w:rPr>
          <w:sz w:val="26"/>
          <w:szCs w:val="26"/>
        </w:rPr>
        <w:t>.Н</w:t>
      </w:r>
      <w:proofErr w:type="gramEnd"/>
      <w:r w:rsidRPr="00C93E4D">
        <w:rPr>
          <w:sz w:val="26"/>
          <w:szCs w:val="26"/>
        </w:rPr>
        <w:t>овокривошеино</w:t>
      </w:r>
    </w:p>
    <w:p w:rsidR="00F54B57" w:rsidRPr="00C93E4D" w:rsidRDefault="00F54B57" w:rsidP="00F54B57">
      <w:pPr>
        <w:jc w:val="center"/>
        <w:rPr>
          <w:sz w:val="26"/>
          <w:szCs w:val="26"/>
        </w:rPr>
      </w:pPr>
      <w:r w:rsidRPr="00C93E4D">
        <w:rPr>
          <w:sz w:val="26"/>
          <w:szCs w:val="26"/>
        </w:rPr>
        <w:t>Кривошеинского района</w:t>
      </w:r>
    </w:p>
    <w:p w:rsidR="00F54B57" w:rsidRPr="00C93E4D" w:rsidRDefault="00F54B57" w:rsidP="00F54B57">
      <w:pPr>
        <w:jc w:val="center"/>
        <w:rPr>
          <w:sz w:val="26"/>
          <w:szCs w:val="26"/>
        </w:rPr>
      </w:pPr>
      <w:r w:rsidRPr="00C93E4D">
        <w:rPr>
          <w:sz w:val="26"/>
          <w:szCs w:val="26"/>
        </w:rPr>
        <w:t>Томской области</w:t>
      </w:r>
    </w:p>
    <w:p w:rsidR="00F54B57" w:rsidRPr="00C93E4D" w:rsidRDefault="00F54B57" w:rsidP="00264AA0">
      <w:pPr>
        <w:rPr>
          <w:sz w:val="26"/>
          <w:szCs w:val="26"/>
        </w:rPr>
      </w:pPr>
    </w:p>
    <w:p w:rsidR="00264AA0" w:rsidRPr="00C93E4D" w:rsidRDefault="00264AA0" w:rsidP="00264AA0">
      <w:pPr>
        <w:rPr>
          <w:sz w:val="26"/>
          <w:szCs w:val="26"/>
        </w:rPr>
      </w:pPr>
    </w:p>
    <w:p w:rsidR="00264AA0" w:rsidRPr="00C93E4D" w:rsidRDefault="00504DA2" w:rsidP="00E56937">
      <w:pPr>
        <w:jc w:val="center"/>
        <w:rPr>
          <w:sz w:val="26"/>
          <w:szCs w:val="26"/>
        </w:rPr>
      </w:pPr>
      <w:r w:rsidRPr="00C93E4D">
        <w:rPr>
          <w:sz w:val="26"/>
          <w:szCs w:val="26"/>
        </w:rPr>
        <w:t xml:space="preserve">О внесении изменений в решение Совета </w:t>
      </w:r>
      <w:proofErr w:type="spellStart"/>
      <w:r w:rsidRPr="00C93E4D">
        <w:rPr>
          <w:sz w:val="26"/>
          <w:szCs w:val="26"/>
        </w:rPr>
        <w:t>Новокривошеинского</w:t>
      </w:r>
      <w:proofErr w:type="spellEnd"/>
      <w:r w:rsidRPr="00C93E4D">
        <w:rPr>
          <w:sz w:val="26"/>
          <w:szCs w:val="26"/>
        </w:rPr>
        <w:t xml:space="preserve"> сельского поселения от 02.04.2015 № 127 «Об утверждении муниципальной программы «Развитие коммунальной и коммуникационной инфраструктуры в </w:t>
      </w:r>
      <w:proofErr w:type="spellStart"/>
      <w:r w:rsidRPr="00C93E4D">
        <w:rPr>
          <w:sz w:val="26"/>
          <w:szCs w:val="26"/>
        </w:rPr>
        <w:t>Новокривошеинском</w:t>
      </w:r>
      <w:proofErr w:type="spellEnd"/>
      <w:r w:rsidRPr="00C93E4D">
        <w:rPr>
          <w:sz w:val="26"/>
          <w:szCs w:val="26"/>
        </w:rPr>
        <w:t xml:space="preserve"> сельском поселении </w:t>
      </w:r>
      <w:proofErr w:type="spellStart"/>
      <w:r w:rsidRPr="00C93E4D">
        <w:rPr>
          <w:sz w:val="26"/>
          <w:szCs w:val="26"/>
        </w:rPr>
        <w:t>Кривошеинского</w:t>
      </w:r>
      <w:proofErr w:type="spellEnd"/>
      <w:r w:rsidRPr="00C93E4D">
        <w:rPr>
          <w:sz w:val="26"/>
          <w:szCs w:val="26"/>
        </w:rPr>
        <w:t xml:space="preserve"> района»</w:t>
      </w:r>
    </w:p>
    <w:p w:rsidR="00264AA0" w:rsidRPr="00C93E4D" w:rsidRDefault="00264AA0" w:rsidP="00264AA0">
      <w:pPr>
        <w:rPr>
          <w:sz w:val="26"/>
          <w:szCs w:val="26"/>
        </w:rPr>
      </w:pPr>
    </w:p>
    <w:p w:rsidR="00264AA0" w:rsidRPr="00C93E4D" w:rsidRDefault="00264AA0" w:rsidP="00264AA0">
      <w:pPr>
        <w:rPr>
          <w:sz w:val="26"/>
          <w:szCs w:val="26"/>
        </w:rPr>
      </w:pPr>
    </w:p>
    <w:p w:rsidR="00264AA0" w:rsidRPr="00C93E4D" w:rsidRDefault="00504DA2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 xml:space="preserve">В связи с окончанием срока действия муниципальной программы </w:t>
      </w:r>
      <w:r w:rsidRPr="00C93E4D">
        <w:rPr>
          <w:sz w:val="26"/>
          <w:szCs w:val="26"/>
        </w:rPr>
        <w:t xml:space="preserve">«Развитие коммунальной и коммуникационной инфраструктуры в </w:t>
      </w:r>
      <w:proofErr w:type="spellStart"/>
      <w:r w:rsidRPr="00C93E4D">
        <w:rPr>
          <w:sz w:val="26"/>
          <w:szCs w:val="26"/>
        </w:rPr>
        <w:t>Новокривошеинском</w:t>
      </w:r>
      <w:proofErr w:type="spellEnd"/>
      <w:r w:rsidRPr="00C93E4D">
        <w:rPr>
          <w:sz w:val="26"/>
          <w:szCs w:val="26"/>
        </w:rPr>
        <w:t xml:space="preserve"> сельском поселении </w:t>
      </w:r>
      <w:proofErr w:type="spellStart"/>
      <w:r w:rsidRPr="00C93E4D">
        <w:rPr>
          <w:sz w:val="26"/>
          <w:szCs w:val="26"/>
        </w:rPr>
        <w:t>Кривошеинского</w:t>
      </w:r>
      <w:proofErr w:type="spellEnd"/>
      <w:r w:rsidRPr="00C93E4D">
        <w:rPr>
          <w:sz w:val="26"/>
          <w:szCs w:val="26"/>
        </w:rPr>
        <w:t xml:space="preserve"> района»</w:t>
      </w:r>
      <w:r w:rsidR="004C336F" w:rsidRPr="00C93E4D">
        <w:rPr>
          <w:sz w:val="26"/>
          <w:szCs w:val="26"/>
        </w:rPr>
        <w:t xml:space="preserve"> в 2020 году, утверждением </w:t>
      </w:r>
      <w:r w:rsidR="0019616D" w:rsidRPr="00C93E4D">
        <w:rPr>
          <w:sz w:val="26"/>
          <w:szCs w:val="26"/>
        </w:rPr>
        <w:t xml:space="preserve">проекта бюджета </w:t>
      </w:r>
      <w:r w:rsidR="00573764" w:rsidRPr="00C93E4D">
        <w:rPr>
          <w:sz w:val="26"/>
          <w:szCs w:val="26"/>
        </w:rPr>
        <w:t xml:space="preserve"> муниципального образования </w:t>
      </w:r>
      <w:proofErr w:type="spellStart"/>
      <w:r w:rsidR="00573764" w:rsidRPr="00C93E4D">
        <w:rPr>
          <w:sz w:val="26"/>
          <w:szCs w:val="26"/>
        </w:rPr>
        <w:t>Новокривошеинское</w:t>
      </w:r>
      <w:proofErr w:type="spellEnd"/>
      <w:r w:rsidR="00573764" w:rsidRPr="00C93E4D">
        <w:rPr>
          <w:sz w:val="26"/>
          <w:szCs w:val="26"/>
        </w:rPr>
        <w:t xml:space="preserve"> сельское поселение</w:t>
      </w:r>
      <w:r w:rsidR="0019616D" w:rsidRPr="00C93E4D">
        <w:rPr>
          <w:sz w:val="26"/>
          <w:szCs w:val="26"/>
        </w:rPr>
        <w:t xml:space="preserve"> на 2020 год</w:t>
      </w:r>
      <w:r w:rsidR="00573764" w:rsidRPr="00C93E4D">
        <w:rPr>
          <w:sz w:val="26"/>
          <w:szCs w:val="26"/>
        </w:rPr>
        <w:t xml:space="preserve"> и на п</w:t>
      </w:r>
      <w:r w:rsidR="00C93E4D">
        <w:rPr>
          <w:sz w:val="26"/>
          <w:szCs w:val="26"/>
        </w:rPr>
        <w:t>лановый период 2021 и 2022 годов</w:t>
      </w:r>
    </w:p>
    <w:p w:rsidR="00264AA0" w:rsidRPr="00C93E4D" w:rsidRDefault="00264AA0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>СОВЕТ НОВОКРИВОШЕИНСКОГО СЕЛЬСКОГО ПОСЕЛЕНИЯ РЕШИЛ:</w:t>
      </w:r>
    </w:p>
    <w:p w:rsidR="0019616D" w:rsidRPr="00C93E4D" w:rsidRDefault="0019616D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 xml:space="preserve">1. Внести изменения в решение </w:t>
      </w:r>
      <w:r w:rsidRPr="00C93E4D">
        <w:rPr>
          <w:sz w:val="26"/>
          <w:szCs w:val="26"/>
        </w:rPr>
        <w:t xml:space="preserve">Совета </w:t>
      </w:r>
      <w:proofErr w:type="spellStart"/>
      <w:r w:rsidRPr="00C93E4D">
        <w:rPr>
          <w:sz w:val="26"/>
          <w:szCs w:val="26"/>
        </w:rPr>
        <w:t>Новокривошеинского</w:t>
      </w:r>
      <w:proofErr w:type="spellEnd"/>
      <w:r w:rsidRPr="00C93E4D">
        <w:rPr>
          <w:sz w:val="26"/>
          <w:szCs w:val="26"/>
        </w:rPr>
        <w:t xml:space="preserve"> сельского поселения от 02.04.2015 № 127 «Об утверждении муниципальной программы «Развитие коммунальной и коммуникационной инфраструктуры в </w:t>
      </w:r>
      <w:proofErr w:type="spellStart"/>
      <w:r w:rsidRPr="00C93E4D">
        <w:rPr>
          <w:sz w:val="26"/>
          <w:szCs w:val="26"/>
        </w:rPr>
        <w:t>Новокривошеинском</w:t>
      </w:r>
      <w:proofErr w:type="spellEnd"/>
      <w:r w:rsidRPr="00C93E4D">
        <w:rPr>
          <w:sz w:val="26"/>
          <w:szCs w:val="26"/>
        </w:rPr>
        <w:t xml:space="preserve"> сельском поселении </w:t>
      </w:r>
      <w:proofErr w:type="spellStart"/>
      <w:r w:rsidRPr="00C93E4D">
        <w:rPr>
          <w:sz w:val="26"/>
          <w:szCs w:val="26"/>
        </w:rPr>
        <w:t>Кривошеинского</w:t>
      </w:r>
      <w:proofErr w:type="spellEnd"/>
      <w:r w:rsidRPr="00C93E4D">
        <w:rPr>
          <w:sz w:val="26"/>
          <w:szCs w:val="26"/>
        </w:rPr>
        <w:t xml:space="preserve"> района»</w:t>
      </w:r>
      <w:r w:rsidRPr="00C93E4D">
        <w:rPr>
          <w:sz w:val="26"/>
          <w:szCs w:val="26"/>
        </w:rPr>
        <w:t>:</w:t>
      </w:r>
    </w:p>
    <w:p w:rsidR="0019616D" w:rsidRPr="00C93E4D" w:rsidRDefault="0019616D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>1)</w:t>
      </w:r>
      <w:r w:rsidR="00573764" w:rsidRPr="00C93E4D">
        <w:rPr>
          <w:sz w:val="26"/>
          <w:szCs w:val="26"/>
        </w:rPr>
        <w:t xml:space="preserve"> паспорт муниципальной программы изложить в редакции со</w:t>
      </w:r>
      <w:r w:rsidR="00C93E4D" w:rsidRPr="00C93E4D">
        <w:rPr>
          <w:sz w:val="26"/>
          <w:szCs w:val="26"/>
        </w:rPr>
        <w:t xml:space="preserve">гласно Приложению </w:t>
      </w:r>
      <w:r w:rsidR="00C93E4D">
        <w:rPr>
          <w:sz w:val="26"/>
          <w:szCs w:val="26"/>
        </w:rPr>
        <w:t>1;</w:t>
      </w:r>
    </w:p>
    <w:p w:rsidR="00573764" w:rsidRPr="00C93E4D" w:rsidRDefault="00573764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 xml:space="preserve">2) в раздел 7 программы «Финансовое обеспечение программных мероприятий» таблицу на 2019-2020 </w:t>
      </w:r>
      <w:proofErr w:type="spellStart"/>
      <w:r w:rsidRPr="00C93E4D">
        <w:rPr>
          <w:sz w:val="26"/>
          <w:szCs w:val="26"/>
        </w:rPr>
        <w:t>г.г</w:t>
      </w:r>
      <w:proofErr w:type="spellEnd"/>
      <w:r w:rsidRPr="00C93E4D">
        <w:rPr>
          <w:sz w:val="26"/>
          <w:szCs w:val="26"/>
        </w:rPr>
        <w:t>. изложить в редакции согласно Приложению</w:t>
      </w:r>
      <w:r w:rsidR="00C93E4D">
        <w:rPr>
          <w:sz w:val="26"/>
          <w:szCs w:val="26"/>
        </w:rPr>
        <w:t xml:space="preserve"> 2;</w:t>
      </w:r>
    </w:p>
    <w:p w:rsidR="00C93E4D" w:rsidRPr="00C93E4D" w:rsidRDefault="00C93E4D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 xml:space="preserve">3) в раздел 7 программы </w:t>
      </w:r>
      <w:r w:rsidRPr="00C93E4D">
        <w:rPr>
          <w:sz w:val="26"/>
          <w:szCs w:val="26"/>
        </w:rPr>
        <w:t>«Финансовое обеспечение программных мероприятий»</w:t>
      </w:r>
      <w:r w:rsidRPr="00C93E4D">
        <w:rPr>
          <w:sz w:val="26"/>
          <w:szCs w:val="26"/>
        </w:rPr>
        <w:t xml:space="preserve"> добавить таблицы на 2021-2032 </w:t>
      </w:r>
      <w:proofErr w:type="spellStart"/>
      <w:r w:rsidRPr="00C93E4D">
        <w:rPr>
          <w:sz w:val="26"/>
          <w:szCs w:val="26"/>
        </w:rPr>
        <w:t>г.г</w:t>
      </w:r>
      <w:proofErr w:type="spellEnd"/>
      <w:r w:rsidRPr="00C93E4D">
        <w:rPr>
          <w:sz w:val="26"/>
          <w:szCs w:val="26"/>
        </w:rPr>
        <w:t xml:space="preserve">. </w:t>
      </w:r>
      <w:r>
        <w:rPr>
          <w:sz w:val="26"/>
          <w:szCs w:val="26"/>
        </w:rPr>
        <w:t>согласно Приложению 3.</w:t>
      </w:r>
    </w:p>
    <w:p w:rsidR="00C93E4D" w:rsidRPr="00C93E4D" w:rsidRDefault="00C93E4D" w:rsidP="00C93E4D">
      <w:pPr>
        <w:ind w:firstLine="708"/>
        <w:jc w:val="both"/>
        <w:rPr>
          <w:sz w:val="26"/>
          <w:szCs w:val="26"/>
        </w:rPr>
      </w:pPr>
      <w:r w:rsidRPr="00C93E4D">
        <w:rPr>
          <w:sz w:val="26"/>
          <w:szCs w:val="26"/>
        </w:rPr>
        <w:t xml:space="preserve">2.Настоящее решение вступает в силу </w:t>
      </w:r>
      <w:proofErr w:type="gramStart"/>
      <w:r w:rsidRPr="00C93E4D">
        <w:rPr>
          <w:sz w:val="26"/>
          <w:szCs w:val="26"/>
        </w:rPr>
        <w:t xml:space="preserve">с </w:t>
      </w:r>
      <w:r>
        <w:rPr>
          <w:sz w:val="26"/>
          <w:szCs w:val="26"/>
        </w:rPr>
        <w:t>даты</w:t>
      </w:r>
      <w:proofErr w:type="gramEnd"/>
      <w:r w:rsidRPr="00C93E4D">
        <w:rPr>
          <w:sz w:val="26"/>
          <w:szCs w:val="26"/>
        </w:rPr>
        <w:t xml:space="preserve"> его подписания.</w:t>
      </w:r>
    </w:p>
    <w:p w:rsidR="00264AA0" w:rsidRPr="00C93E4D" w:rsidRDefault="00C93E4D" w:rsidP="00C93E4D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3</w:t>
      </w:r>
      <w:r w:rsidRPr="00C93E4D">
        <w:rPr>
          <w:sz w:val="26"/>
          <w:szCs w:val="26"/>
        </w:rPr>
        <w:t xml:space="preserve">. </w:t>
      </w:r>
      <w:proofErr w:type="gramStart"/>
      <w:r w:rsidRPr="00C93E4D">
        <w:rPr>
          <w:sz w:val="26"/>
          <w:szCs w:val="26"/>
        </w:rPr>
        <w:t>Контроль за</w:t>
      </w:r>
      <w:proofErr w:type="gramEnd"/>
      <w:r w:rsidRPr="00C93E4D">
        <w:rPr>
          <w:sz w:val="26"/>
          <w:szCs w:val="26"/>
        </w:rPr>
        <w:t xml:space="preserve"> исполнением настоящего решения возложить на специалиста по ЖКХ, ГО и ЧС. </w:t>
      </w:r>
    </w:p>
    <w:p w:rsidR="00264AA0" w:rsidRPr="00C93E4D" w:rsidRDefault="00264AA0" w:rsidP="00264AA0">
      <w:pPr>
        <w:jc w:val="both"/>
        <w:rPr>
          <w:sz w:val="26"/>
          <w:szCs w:val="26"/>
        </w:rPr>
      </w:pPr>
    </w:p>
    <w:p w:rsidR="00E56937" w:rsidRPr="00C93E4D" w:rsidRDefault="00E56937" w:rsidP="00E56937">
      <w:pPr>
        <w:jc w:val="both"/>
        <w:rPr>
          <w:sz w:val="26"/>
          <w:szCs w:val="26"/>
        </w:rPr>
      </w:pPr>
    </w:p>
    <w:p w:rsidR="00E56937" w:rsidRPr="00C93E4D" w:rsidRDefault="00E56937" w:rsidP="00E56937">
      <w:pPr>
        <w:jc w:val="both"/>
        <w:rPr>
          <w:sz w:val="26"/>
          <w:szCs w:val="26"/>
        </w:rPr>
      </w:pPr>
      <w:r w:rsidRPr="00C93E4D">
        <w:rPr>
          <w:sz w:val="26"/>
          <w:szCs w:val="26"/>
        </w:rPr>
        <w:t>Председатель Совета Новокривошеинского</w:t>
      </w:r>
    </w:p>
    <w:p w:rsidR="00E56937" w:rsidRPr="00C93E4D" w:rsidRDefault="00E56937" w:rsidP="00E56937">
      <w:pPr>
        <w:jc w:val="both"/>
        <w:rPr>
          <w:sz w:val="26"/>
          <w:szCs w:val="26"/>
        </w:rPr>
      </w:pPr>
      <w:r w:rsidRPr="00C93E4D">
        <w:rPr>
          <w:sz w:val="26"/>
          <w:szCs w:val="26"/>
        </w:rPr>
        <w:t>сельского поселения</w:t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="00F54B57" w:rsidRPr="00C93E4D">
        <w:rPr>
          <w:sz w:val="26"/>
          <w:szCs w:val="26"/>
        </w:rPr>
        <w:t xml:space="preserve">Е.В. </w:t>
      </w:r>
      <w:proofErr w:type="spellStart"/>
      <w:r w:rsidR="00F54B57" w:rsidRPr="00C93E4D">
        <w:rPr>
          <w:sz w:val="26"/>
          <w:szCs w:val="26"/>
        </w:rPr>
        <w:t>Танькова</w:t>
      </w:r>
      <w:proofErr w:type="spellEnd"/>
    </w:p>
    <w:p w:rsidR="00264AA0" w:rsidRPr="00C93E4D" w:rsidRDefault="00264AA0" w:rsidP="00264AA0">
      <w:pPr>
        <w:jc w:val="both"/>
        <w:rPr>
          <w:sz w:val="26"/>
          <w:szCs w:val="26"/>
        </w:rPr>
      </w:pPr>
    </w:p>
    <w:p w:rsidR="00264AA0" w:rsidRPr="00C93E4D" w:rsidRDefault="00264AA0" w:rsidP="00264AA0">
      <w:pPr>
        <w:jc w:val="both"/>
        <w:rPr>
          <w:sz w:val="26"/>
          <w:szCs w:val="26"/>
        </w:rPr>
      </w:pPr>
    </w:p>
    <w:p w:rsidR="00264AA0" w:rsidRDefault="00264AA0" w:rsidP="00264AA0">
      <w:pPr>
        <w:jc w:val="both"/>
      </w:pPr>
      <w:r w:rsidRPr="00C93E4D">
        <w:rPr>
          <w:sz w:val="26"/>
          <w:szCs w:val="26"/>
        </w:rPr>
        <w:t xml:space="preserve">Глава </w:t>
      </w:r>
      <w:proofErr w:type="spellStart"/>
      <w:r w:rsidRPr="00C93E4D">
        <w:rPr>
          <w:sz w:val="26"/>
          <w:szCs w:val="26"/>
        </w:rPr>
        <w:t>Новокривошеинского</w:t>
      </w:r>
      <w:proofErr w:type="spellEnd"/>
      <w:r w:rsidRPr="00C93E4D">
        <w:rPr>
          <w:sz w:val="26"/>
          <w:szCs w:val="26"/>
        </w:rPr>
        <w:t xml:space="preserve"> сельского поселения</w:t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Pr="00C93E4D">
        <w:rPr>
          <w:sz w:val="26"/>
          <w:szCs w:val="26"/>
        </w:rPr>
        <w:tab/>
      </w:r>
      <w:r w:rsidR="00C93E4D">
        <w:rPr>
          <w:sz w:val="26"/>
          <w:szCs w:val="26"/>
        </w:rPr>
        <w:t xml:space="preserve">           </w:t>
      </w:r>
      <w:r w:rsidR="00F54B57" w:rsidRPr="00C93E4D">
        <w:rPr>
          <w:sz w:val="26"/>
          <w:szCs w:val="26"/>
        </w:rPr>
        <w:t>А.О. Саяпин</w:t>
      </w:r>
    </w:p>
    <w:p w:rsidR="00264AA0" w:rsidRDefault="00264AA0" w:rsidP="00264AA0">
      <w:pPr>
        <w:jc w:val="both"/>
      </w:pPr>
    </w:p>
    <w:p w:rsidR="00264AA0" w:rsidRDefault="00264AA0" w:rsidP="00264AA0">
      <w:pPr>
        <w:jc w:val="both"/>
      </w:pPr>
    </w:p>
    <w:p w:rsidR="00264AA0" w:rsidRDefault="00264AA0" w:rsidP="00264AA0"/>
    <w:p w:rsidR="00264AA0" w:rsidRDefault="00264AA0" w:rsidP="00264AA0"/>
    <w:p w:rsidR="001B0EBF" w:rsidRDefault="001B0EBF" w:rsidP="001B0EBF">
      <w:pPr>
        <w:jc w:val="right"/>
      </w:pPr>
      <w:r>
        <w:t>Приложение 1</w:t>
      </w:r>
    </w:p>
    <w:p w:rsidR="001B0EBF" w:rsidRDefault="001B0EBF" w:rsidP="001B0EBF">
      <w:pPr>
        <w:jc w:val="right"/>
      </w:pPr>
      <w:r>
        <w:t>к решению Совета</w:t>
      </w:r>
      <w:r w:rsidRPr="001B0EBF">
        <w:t xml:space="preserve"> </w:t>
      </w:r>
      <w:proofErr w:type="spellStart"/>
      <w:r>
        <w:t>Новокривошеинского</w:t>
      </w:r>
      <w:proofErr w:type="spellEnd"/>
    </w:p>
    <w:p w:rsidR="001B0EBF" w:rsidRDefault="001B0EBF" w:rsidP="001B0EBF">
      <w:pPr>
        <w:jc w:val="right"/>
      </w:pPr>
      <w:r>
        <w:t>сельского поселения от 14.11.2019 № 127</w:t>
      </w:r>
    </w:p>
    <w:p w:rsidR="001B0EBF" w:rsidRDefault="001B0EBF" w:rsidP="001B0EBF">
      <w:pPr>
        <w:jc w:val="right"/>
      </w:pPr>
    </w:p>
    <w:p w:rsidR="001B0EBF" w:rsidRPr="001B0EBF" w:rsidRDefault="001B0EBF" w:rsidP="001B0EBF">
      <w:pPr>
        <w:widowControl w:val="0"/>
        <w:suppressAutoHyphens/>
        <w:jc w:val="center"/>
        <w:rPr>
          <w:kern w:val="1"/>
          <w:lang w:eastAsia="ar-SA"/>
        </w:rPr>
      </w:pPr>
      <w:r w:rsidRPr="001B0EBF">
        <w:rPr>
          <w:kern w:val="1"/>
          <w:lang w:eastAsia="ar-SA"/>
        </w:rPr>
        <w:t>Паспорт</w:t>
      </w:r>
    </w:p>
    <w:p w:rsidR="001B0EBF" w:rsidRPr="001B0EBF" w:rsidRDefault="001B0EBF" w:rsidP="001B0EBF">
      <w:pPr>
        <w:widowControl w:val="0"/>
        <w:suppressAutoHyphens/>
        <w:jc w:val="center"/>
        <w:rPr>
          <w:kern w:val="1"/>
          <w:lang w:eastAsia="ar-SA"/>
        </w:rPr>
      </w:pPr>
      <w:r w:rsidRPr="001B0EBF">
        <w:rPr>
          <w:kern w:val="1"/>
          <w:lang w:eastAsia="ar-SA"/>
        </w:rPr>
        <w:t>муниципальной программы</w:t>
      </w:r>
    </w:p>
    <w:p w:rsidR="001B0EBF" w:rsidRPr="001B0EBF" w:rsidRDefault="001B0EBF" w:rsidP="001B0EBF">
      <w:pPr>
        <w:widowControl w:val="0"/>
        <w:suppressAutoHyphens/>
        <w:jc w:val="center"/>
        <w:rPr>
          <w:kern w:val="1"/>
          <w:lang w:eastAsia="ar-SA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0"/>
        <w:gridCol w:w="2224"/>
        <w:gridCol w:w="261"/>
        <w:gridCol w:w="590"/>
        <w:gridCol w:w="215"/>
        <w:gridCol w:w="494"/>
        <w:gridCol w:w="202"/>
        <w:gridCol w:w="506"/>
        <w:gridCol w:w="190"/>
        <w:gridCol w:w="803"/>
        <w:gridCol w:w="708"/>
        <w:gridCol w:w="142"/>
        <w:gridCol w:w="142"/>
        <w:gridCol w:w="567"/>
      </w:tblGrid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муниципальная программа «Развитие коммунальной и коммуникационной инфраструктуры в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Новокривошеинском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сельском поселении»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Администрация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 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Администрация </w:t>
            </w:r>
            <w:proofErr w:type="spellStart"/>
            <w:r w:rsidRPr="001B0EBF">
              <w:rPr>
                <w:kern w:val="1"/>
                <w:lang w:eastAsia="ar-SA"/>
              </w:rPr>
              <w:t>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района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участники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Администрация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Администрация </w:t>
            </w:r>
            <w:proofErr w:type="spellStart"/>
            <w:r w:rsidRPr="001B0EBF">
              <w:rPr>
                <w:kern w:val="1"/>
                <w:lang w:eastAsia="ar-SA"/>
              </w:rPr>
              <w:t>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района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среднесрочная цель социально-экономического развития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поселения, на реализацию которой направлена муниципальная программа 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Развитая инфраструктура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цель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numPr>
                <w:ilvl w:val="0"/>
                <w:numId w:val="2"/>
              </w:numPr>
              <w:suppressAutoHyphens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Развитие и модернизация систем коммунальной и коммуникационной инфраструктуры</w:t>
            </w:r>
          </w:p>
          <w:p w:rsidR="001B0EBF" w:rsidRPr="001B0EBF" w:rsidRDefault="001B0EBF" w:rsidP="001B0EBF">
            <w:pPr>
              <w:widowControl w:val="0"/>
              <w:numPr>
                <w:ilvl w:val="0"/>
                <w:numId w:val="2"/>
              </w:numPr>
              <w:suppressAutoHyphens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качественное и надежное обеспечение потребителей коммунальными и коммуникационными услугами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</w:p>
        </w:tc>
      </w:tr>
      <w:tr w:rsidR="001B0EBF" w:rsidRPr="001B0EBF" w:rsidTr="00D62EF8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показатели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2014 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2015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2017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2019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2020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2025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2026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2032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прирост стоимости основных  фондов систем теплоснабжения и водоснабжения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к базовому </w:t>
            </w:r>
            <w:r w:rsidRPr="001B0EBF">
              <w:rPr>
                <w:kern w:val="1"/>
                <w:lang w:eastAsia="ar-SA"/>
              </w:rPr>
              <w:lastRenderedPageBreak/>
              <w:t>периоду, 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lastRenderedPageBreak/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1,9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2,5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количество аварий в системах теплоснабжения и водоснабжения, 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доля населения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поселения, обеспеченного доступом к современным услугам связи (сотовая связь, широкополосный доступ в Интернет, цифровое телевидение), 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17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задачи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numPr>
                <w:ilvl w:val="0"/>
                <w:numId w:val="1"/>
              </w:numPr>
              <w:suppressAutoHyphens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повышение надежности и эффективности функционирования коммунальной инфраструктуры на территории МО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Новокривошеинское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сельское поселение</w:t>
            </w:r>
          </w:p>
          <w:p w:rsidR="001B0EBF" w:rsidRPr="001B0EBF" w:rsidRDefault="001B0EBF" w:rsidP="001B0EBF">
            <w:pPr>
              <w:widowControl w:val="0"/>
              <w:numPr>
                <w:ilvl w:val="0"/>
                <w:numId w:val="1"/>
              </w:numPr>
              <w:suppressAutoHyphens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повышение надежности и эффективности функционирования коммуникационной инфраструктуры на территории МО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Новокривошеинское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сельское поселение</w:t>
            </w:r>
          </w:p>
        </w:tc>
      </w:tr>
      <w:tr w:rsidR="001B0EBF" w:rsidRPr="001B0EBF" w:rsidTr="00D62EF8"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показатели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2014 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год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2015 год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2016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2017-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2019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2020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2025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2026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-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2032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 год</w:t>
            </w:r>
          </w:p>
        </w:tc>
      </w:tr>
      <w:tr w:rsidR="001B0EBF" w:rsidRPr="001B0EBF" w:rsidTr="00D62EF8">
        <w:trPr>
          <w:trHeight w:val="992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both"/>
              <w:rPr>
                <w:kern w:val="1"/>
                <w:szCs w:val="28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Задача № 1. повышение надежности и эффективности функционирования коммунальной инфраструктуры на территории МО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Новокривошеинское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сельское поселение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оборудование 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 водопроводом (проведение капитального ремонта), %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73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73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100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both"/>
              <w:rPr>
                <w:kern w:val="1"/>
                <w:szCs w:val="28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Задача № 2. повышение надежности и эффективности функционирования коммуникационной инфраструктуры на территории МО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Новокривошеинское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сельское поселение</w:t>
            </w:r>
          </w:p>
        </w:tc>
      </w:tr>
      <w:tr w:rsidR="001B0EBF" w:rsidRPr="001B0EBF" w:rsidTr="00D62EF8"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szCs w:val="28"/>
                <w:lang w:eastAsia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доля населения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поселения, обеспеченного доступом к современным услугам связи </w:t>
            </w:r>
            <w:r w:rsidRPr="001B0EBF">
              <w:rPr>
                <w:kern w:val="1"/>
                <w:lang w:eastAsia="ar-SA"/>
              </w:rPr>
              <w:lastRenderedPageBreak/>
              <w:t>(сотовая связь, широкополосный доступ в Интернет, цифровое телевидение), %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14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18</w:t>
            </w: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подпрограмма 1 «Характеристика коммунальной инфраструктуры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поселения»</w:t>
            </w:r>
          </w:p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подпрограмма 2 «Характеристика коммуникационной инфраструктуры </w:t>
            </w:r>
            <w:proofErr w:type="spellStart"/>
            <w:r w:rsidRPr="001B0EBF">
              <w:rPr>
                <w:kern w:val="1"/>
                <w:lang w:eastAsia="ar-SA"/>
              </w:rPr>
              <w:t>Новокривошеинского</w:t>
            </w:r>
            <w:proofErr w:type="spellEnd"/>
            <w:r w:rsidRPr="001B0EBF">
              <w:rPr>
                <w:kern w:val="1"/>
                <w:lang w:eastAsia="ar-SA"/>
              </w:rPr>
              <w:t xml:space="preserve"> сельского поселения»</w:t>
            </w:r>
          </w:p>
          <w:p w:rsidR="001B0EBF" w:rsidRPr="001B0EBF" w:rsidRDefault="001B0EBF" w:rsidP="001B0EBF">
            <w:pPr>
              <w:widowControl w:val="0"/>
              <w:suppressAutoHyphens/>
              <w:snapToGrid w:val="0"/>
              <w:spacing w:before="120" w:line="280" w:lineRule="atLeast"/>
              <w:rPr>
                <w:kern w:val="1"/>
                <w:lang w:eastAsia="ar-SA"/>
              </w:rPr>
            </w:pPr>
          </w:p>
        </w:tc>
      </w:tr>
      <w:tr w:rsidR="001B0EBF" w:rsidRPr="001B0EBF" w:rsidTr="00D62EF8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>2015-2032 годы</w:t>
            </w:r>
          </w:p>
        </w:tc>
      </w:tr>
      <w:tr w:rsidR="001B0EBF" w:rsidRPr="001B0EBF" w:rsidTr="001B0EBF">
        <w:trPr>
          <w:trHeight w:val="6462"/>
        </w:trPr>
        <w:tc>
          <w:tcPr>
            <w:tcW w:w="94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объем и источники финансирования муниципальной программы </w:t>
            </w:r>
          </w:p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lang w:eastAsia="ar-SA"/>
              </w:rPr>
            </w:pPr>
            <w:r w:rsidRPr="001B0EBF">
              <w:rPr>
                <w:kern w:val="1"/>
                <w:lang w:eastAsia="ar-SA"/>
              </w:rPr>
              <w:t xml:space="preserve">(с детализацией по годам реализации), </w:t>
            </w:r>
            <w:proofErr w:type="spellStart"/>
            <w:r w:rsidRPr="001B0EBF">
              <w:rPr>
                <w:kern w:val="1"/>
                <w:lang w:eastAsia="ar-SA"/>
              </w:rPr>
              <w:t>тыс</w:t>
            </w:r>
            <w:proofErr w:type="gramStart"/>
            <w:r w:rsidRPr="001B0EBF">
              <w:rPr>
                <w:kern w:val="1"/>
                <w:lang w:eastAsia="ar-SA"/>
              </w:rPr>
              <w:t>.р</w:t>
            </w:r>
            <w:proofErr w:type="gramEnd"/>
            <w:r w:rsidRPr="001B0EBF">
              <w:rPr>
                <w:kern w:val="1"/>
                <w:lang w:eastAsia="ar-SA"/>
              </w:rPr>
              <w:t>ублей</w:t>
            </w:r>
            <w:proofErr w:type="spellEnd"/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002"/>
              <w:gridCol w:w="846"/>
              <w:gridCol w:w="850"/>
              <w:gridCol w:w="851"/>
              <w:gridCol w:w="992"/>
              <w:gridCol w:w="1134"/>
              <w:gridCol w:w="1134"/>
              <w:gridCol w:w="1139"/>
            </w:tblGrid>
            <w:tr w:rsidR="001B0EBF" w:rsidRPr="001B0EBF" w:rsidTr="00D62EF8"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источники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всего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2015-2018г.г.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2019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2020 г.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2021 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2022 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 xml:space="preserve">2023-2028 </w:t>
                  </w:r>
                  <w:proofErr w:type="spellStart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г.</w:t>
                  </w:r>
                  <w:proofErr w:type="gramStart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г</w:t>
                  </w:r>
                  <w:proofErr w:type="spellEnd"/>
                  <w:proofErr w:type="gramEnd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.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 xml:space="preserve">2029-2032 </w:t>
                  </w:r>
                  <w:proofErr w:type="spellStart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г.</w:t>
                  </w:r>
                  <w:proofErr w:type="gramStart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г</w:t>
                  </w:r>
                  <w:proofErr w:type="spellEnd"/>
                  <w:proofErr w:type="gramEnd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.</w:t>
                  </w:r>
                </w:p>
              </w:tc>
            </w:tr>
            <w:tr w:rsidR="001B0EBF" w:rsidRPr="001B0EBF" w:rsidTr="00D62EF8"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областной</w:t>
                  </w:r>
                </w:p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бюджет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411,7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411,7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</w:tr>
            <w:tr w:rsidR="001B0EBF" w:rsidRPr="001B0EBF" w:rsidTr="00D62EF8"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 xml:space="preserve">районный </w:t>
                  </w:r>
                </w:p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бюджет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549,24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481,29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67,95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</w:tr>
            <w:tr w:rsidR="001B0EBF" w:rsidRPr="001B0EBF" w:rsidTr="00D62EF8"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бюджет сельского поселения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4494,31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225,11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192,2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356,0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371,0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1750,0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1200,0</w:t>
                  </w:r>
                </w:p>
              </w:tc>
            </w:tr>
            <w:tr w:rsidR="001B0EBF" w:rsidRPr="001B0EBF" w:rsidTr="00D62EF8"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proofErr w:type="spellStart"/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внебюджет</w:t>
                  </w:r>
                  <w:proofErr w:type="spellEnd"/>
                </w:p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61,5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61,5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0</w:t>
                  </w:r>
                </w:p>
              </w:tc>
            </w:tr>
            <w:tr w:rsidR="001B0EBF" w:rsidRPr="001B0EBF" w:rsidTr="00D62EF8">
              <w:trPr>
                <w:trHeight w:val="1236"/>
              </w:trPr>
              <w:tc>
                <w:tcPr>
                  <w:tcW w:w="1555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итого</w:t>
                  </w:r>
                </w:p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00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5516,75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1179,6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260,15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356,0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371,0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400,0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1750,0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1B0EBF" w:rsidRPr="001B0EBF" w:rsidRDefault="001B0EBF" w:rsidP="001B0EBF">
                  <w:pPr>
                    <w:widowControl w:val="0"/>
                    <w:suppressAutoHyphens/>
                    <w:spacing w:before="120" w:line="280" w:lineRule="atLeast"/>
                    <w:jc w:val="center"/>
                    <w:rPr>
                      <w:kern w:val="1"/>
                      <w:sz w:val="22"/>
                      <w:szCs w:val="22"/>
                      <w:lang w:eastAsia="ar-SA"/>
                    </w:rPr>
                  </w:pPr>
                  <w:r w:rsidRPr="001B0EBF">
                    <w:rPr>
                      <w:kern w:val="1"/>
                      <w:sz w:val="22"/>
                      <w:szCs w:val="22"/>
                      <w:lang w:eastAsia="ar-SA"/>
                    </w:rPr>
                    <w:t>1200,0</w:t>
                  </w:r>
                </w:p>
              </w:tc>
            </w:tr>
          </w:tbl>
          <w:p w:rsidR="001B0EBF" w:rsidRPr="001B0EBF" w:rsidRDefault="001B0EBF" w:rsidP="001B0EBF">
            <w:pPr>
              <w:widowControl w:val="0"/>
              <w:suppressAutoHyphens/>
              <w:spacing w:before="120" w:line="28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</w:tbl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/>
    <w:p w:rsidR="001B0EBF" w:rsidRDefault="001B0EBF" w:rsidP="001B0EBF">
      <w:pPr>
        <w:jc w:val="right"/>
        <w:sectPr w:rsidR="001B0EBF" w:rsidSect="00D63EB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0EBF" w:rsidRDefault="001B0EBF" w:rsidP="001B0EBF">
      <w:pPr>
        <w:jc w:val="right"/>
      </w:pPr>
      <w:r>
        <w:lastRenderedPageBreak/>
        <w:t>Приложение 2</w:t>
      </w:r>
    </w:p>
    <w:p w:rsidR="001B0EBF" w:rsidRDefault="001B0EBF" w:rsidP="001B0EBF">
      <w:pPr>
        <w:jc w:val="right"/>
      </w:pPr>
      <w:r>
        <w:t>к решению Совета</w:t>
      </w:r>
      <w:r w:rsidRPr="001B0EBF">
        <w:t xml:space="preserve"> </w:t>
      </w:r>
      <w:proofErr w:type="spellStart"/>
      <w:r>
        <w:t>Новокривошеинского</w:t>
      </w:r>
      <w:proofErr w:type="spellEnd"/>
    </w:p>
    <w:p w:rsidR="001B0EBF" w:rsidRDefault="001B0EBF" w:rsidP="001B0EBF">
      <w:pPr>
        <w:jc w:val="right"/>
      </w:pPr>
      <w:r>
        <w:t>сельского поселения от 14.11.2019 № 127</w:t>
      </w:r>
    </w:p>
    <w:p w:rsidR="001B0EBF" w:rsidRDefault="001B0EBF" w:rsidP="001B0EBF">
      <w:pPr>
        <w:jc w:val="right"/>
      </w:pPr>
    </w:p>
    <w:p w:rsidR="001B0EBF" w:rsidRDefault="001B0EBF" w:rsidP="001B0EBF">
      <w:pPr>
        <w:jc w:val="right"/>
      </w:pPr>
    </w:p>
    <w:p w:rsidR="001B0EBF" w:rsidRDefault="001B0EBF" w:rsidP="001B0EBF">
      <w:pPr>
        <w:jc w:val="right"/>
      </w:pPr>
    </w:p>
    <w:p w:rsidR="001B0EBF" w:rsidRPr="001B0EBF" w:rsidRDefault="001B0EBF" w:rsidP="001B0EBF">
      <w:pPr>
        <w:jc w:val="center"/>
        <w:rPr>
          <w:b/>
        </w:rPr>
      </w:pPr>
      <w:r w:rsidRPr="001B0EBF">
        <w:rPr>
          <w:b/>
        </w:rPr>
        <w:t xml:space="preserve">2019-2020 </w:t>
      </w:r>
      <w:proofErr w:type="spellStart"/>
      <w:r w:rsidRPr="001B0EBF">
        <w:rPr>
          <w:b/>
        </w:rPr>
        <w:t>г.</w:t>
      </w:r>
      <w:proofErr w:type="gramStart"/>
      <w:r w:rsidRPr="001B0EBF">
        <w:rPr>
          <w:b/>
        </w:rPr>
        <w:t>г</w:t>
      </w:r>
      <w:proofErr w:type="spellEnd"/>
      <w:proofErr w:type="gramEnd"/>
      <w:r w:rsidRPr="001B0EBF">
        <w:rPr>
          <w:b/>
        </w:rPr>
        <w:t>.</w:t>
      </w:r>
    </w:p>
    <w:p w:rsidR="001B0EBF" w:rsidRPr="001B0EBF" w:rsidRDefault="001B0EBF" w:rsidP="001B0EBF">
      <w:pPr>
        <w:jc w:val="center"/>
        <w:rPr>
          <w:b/>
        </w:rPr>
      </w:pP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369"/>
        <w:gridCol w:w="1975"/>
        <w:gridCol w:w="656"/>
        <w:gridCol w:w="789"/>
        <w:gridCol w:w="576"/>
        <w:gridCol w:w="576"/>
        <w:gridCol w:w="1014"/>
        <w:gridCol w:w="628"/>
        <w:gridCol w:w="789"/>
        <w:gridCol w:w="415"/>
        <w:gridCol w:w="1014"/>
        <w:gridCol w:w="663"/>
        <w:gridCol w:w="789"/>
        <w:gridCol w:w="558"/>
        <w:gridCol w:w="576"/>
        <w:gridCol w:w="1014"/>
        <w:gridCol w:w="628"/>
        <w:gridCol w:w="789"/>
        <w:gridCol w:w="521"/>
        <w:gridCol w:w="1014"/>
      </w:tblGrid>
      <w:tr w:rsidR="001B0EBF" w:rsidRPr="001B0EBF" w:rsidTr="00D62EF8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2019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2020</w:t>
            </w:r>
          </w:p>
        </w:tc>
      </w:tr>
      <w:tr w:rsidR="001B0EBF" w:rsidRPr="001B0EBF" w:rsidTr="00D62EF8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</w:tr>
      <w:tr w:rsidR="001E359D" w:rsidRPr="001B0EBF" w:rsidTr="00D62EF8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</w:tr>
      <w:tr w:rsidR="001E359D" w:rsidRPr="001B0EBF" w:rsidTr="00D62EF8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b/>
                <w:sz w:val="16"/>
                <w:szCs w:val="16"/>
              </w:rPr>
            </w:pPr>
            <w:r w:rsidRPr="001B0EBF">
              <w:rPr>
                <w:b/>
                <w:sz w:val="16"/>
                <w:szCs w:val="16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79,75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67,95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11,8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176,0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176,0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4,25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4,25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176,0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176,0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9676A7" w:rsidP="001B0EBF">
            <w:pPr>
              <w:rPr>
                <w:bCs/>
                <w:sz w:val="16"/>
                <w:szCs w:val="16"/>
              </w:rPr>
            </w:pPr>
            <w:r w:rsidRPr="00307669">
              <w:rPr>
                <w:bCs/>
                <w:sz w:val="16"/>
                <w:szCs w:val="16"/>
              </w:rPr>
              <w:t xml:space="preserve">техническое диагностирование, инструментально-визуальное обследование строительных конструкций дымовых труб </w:t>
            </w:r>
            <w:proofErr w:type="spellStart"/>
            <w:r w:rsidRPr="00307669">
              <w:rPr>
                <w:bCs/>
                <w:sz w:val="16"/>
                <w:szCs w:val="16"/>
              </w:rPr>
              <w:t>АИТов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9676A7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75,5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9676A7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67,95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9676A7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7,55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bCs/>
                <w:sz w:val="16"/>
                <w:szCs w:val="16"/>
              </w:rPr>
            </w:pPr>
            <w:r w:rsidRPr="001B0EBF">
              <w:rPr>
                <w:bCs/>
                <w:sz w:val="16"/>
                <w:szCs w:val="16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E951D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sz w:val="16"/>
                <w:szCs w:val="16"/>
              </w:rPr>
            </w:pPr>
          </w:p>
        </w:tc>
      </w:tr>
      <w:tr w:rsidR="001E359D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260,15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67,95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192,2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356,0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E359D" w:rsidP="001B0EBF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356,0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0EBF" w:rsidRPr="001B0EBF" w:rsidRDefault="001B0EBF" w:rsidP="001B0E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B0EBF" w:rsidRDefault="001B0EBF" w:rsidP="001B0EBF">
      <w:pPr>
        <w:jc w:val="right"/>
        <w:sectPr w:rsidR="001B0EBF" w:rsidSect="001B0EB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1E359D" w:rsidRDefault="001E359D" w:rsidP="001E359D">
      <w:pPr>
        <w:jc w:val="right"/>
      </w:pPr>
      <w:r>
        <w:lastRenderedPageBreak/>
        <w:t>Приложение 3</w:t>
      </w:r>
    </w:p>
    <w:p w:rsidR="001E359D" w:rsidRDefault="001E359D" w:rsidP="001E359D">
      <w:pPr>
        <w:jc w:val="right"/>
      </w:pPr>
      <w:r>
        <w:t>к решению Совета</w:t>
      </w:r>
      <w:r w:rsidRPr="001B0EBF">
        <w:t xml:space="preserve"> </w:t>
      </w:r>
      <w:proofErr w:type="spellStart"/>
      <w:r>
        <w:t>Новокривошеинского</w:t>
      </w:r>
      <w:proofErr w:type="spellEnd"/>
    </w:p>
    <w:p w:rsidR="001E359D" w:rsidRDefault="001E359D" w:rsidP="001E359D">
      <w:pPr>
        <w:jc w:val="right"/>
      </w:pPr>
      <w:r>
        <w:t>сельского поселения от 14.11.2019 № 127</w:t>
      </w:r>
    </w:p>
    <w:p w:rsidR="001E359D" w:rsidRDefault="001E359D" w:rsidP="001E359D">
      <w:pPr>
        <w:jc w:val="right"/>
      </w:pPr>
    </w:p>
    <w:p w:rsidR="00E951D0" w:rsidRPr="001B0EBF" w:rsidRDefault="00E951D0" w:rsidP="00E951D0">
      <w:pPr>
        <w:jc w:val="center"/>
        <w:rPr>
          <w:b/>
        </w:rPr>
      </w:pPr>
      <w:r>
        <w:rPr>
          <w:b/>
        </w:rPr>
        <w:t>2021-2022</w:t>
      </w:r>
      <w:r w:rsidRPr="001B0EBF">
        <w:rPr>
          <w:b/>
        </w:rPr>
        <w:t xml:space="preserve"> </w:t>
      </w:r>
      <w:proofErr w:type="spellStart"/>
      <w:r w:rsidRPr="001B0EBF">
        <w:rPr>
          <w:b/>
        </w:rPr>
        <w:t>г.</w:t>
      </w:r>
      <w:proofErr w:type="gramStart"/>
      <w:r w:rsidRPr="001B0EBF">
        <w:rPr>
          <w:b/>
        </w:rPr>
        <w:t>г</w:t>
      </w:r>
      <w:proofErr w:type="spellEnd"/>
      <w:proofErr w:type="gramEnd"/>
      <w:r w:rsidRPr="001B0EBF">
        <w:rPr>
          <w:b/>
        </w:rPr>
        <w:t>.</w:t>
      </w:r>
    </w:p>
    <w:p w:rsidR="00E951D0" w:rsidRPr="001B0EBF" w:rsidRDefault="00E951D0" w:rsidP="00E951D0">
      <w:pPr>
        <w:jc w:val="center"/>
        <w:rPr>
          <w:b/>
        </w:rPr>
      </w:pP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369"/>
        <w:gridCol w:w="1975"/>
        <w:gridCol w:w="643"/>
        <w:gridCol w:w="789"/>
        <w:gridCol w:w="557"/>
        <w:gridCol w:w="576"/>
        <w:gridCol w:w="1014"/>
        <w:gridCol w:w="628"/>
        <w:gridCol w:w="789"/>
        <w:gridCol w:w="415"/>
        <w:gridCol w:w="1014"/>
        <w:gridCol w:w="695"/>
        <w:gridCol w:w="789"/>
        <w:gridCol w:w="558"/>
        <w:gridCol w:w="576"/>
        <w:gridCol w:w="1014"/>
        <w:gridCol w:w="628"/>
        <w:gridCol w:w="789"/>
        <w:gridCol w:w="521"/>
        <w:gridCol w:w="1014"/>
      </w:tblGrid>
      <w:tr w:rsidR="00E951D0" w:rsidRPr="001B0EBF" w:rsidTr="00D62EF8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2021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2022</w:t>
            </w: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</w:tr>
      <w:tr w:rsidR="00E951D0" w:rsidRPr="001B0EBF" w:rsidTr="00D62EF8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</w:tr>
      <w:tr w:rsidR="00E951D0" w:rsidRPr="001B0EBF" w:rsidTr="00D62EF8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b/>
                <w:sz w:val="16"/>
                <w:szCs w:val="16"/>
              </w:rPr>
            </w:pPr>
            <w:r w:rsidRPr="001B0EBF">
              <w:rPr>
                <w:b/>
                <w:sz w:val="16"/>
                <w:szCs w:val="16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191,0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191,0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209,0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209,0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191,0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191,0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209,0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  <w:r w:rsidRPr="001B0EBF">
              <w:rPr>
                <w:bCs/>
                <w:sz w:val="16"/>
                <w:szCs w:val="16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180,0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389,0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389,0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951D0" w:rsidRDefault="00E951D0" w:rsidP="00E951D0">
      <w:pPr>
        <w:jc w:val="right"/>
        <w:sectPr w:rsidR="00E951D0" w:rsidSect="001B0EB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E951D0" w:rsidRPr="001B0EBF" w:rsidRDefault="00E951D0" w:rsidP="00E951D0">
      <w:pPr>
        <w:jc w:val="center"/>
        <w:rPr>
          <w:b/>
        </w:rPr>
      </w:pPr>
      <w:r>
        <w:rPr>
          <w:b/>
        </w:rPr>
        <w:lastRenderedPageBreak/>
        <w:t>2023-2032</w:t>
      </w:r>
      <w:r w:rsidRPr="001B0EBF">
        <w:rPr>
          <w:b/>
        </w:rPr>
        <w:t xml:space="preserve"> </w:t>
      </w:r>
      <w:proofErr w:type="spellStart"/>
      <w:r w:rsidRPr="001B0EBF">
        <w:rPr>
          <w:b/>
        </w:rPr>
        <w:t>г.</w:t>
      </w:r>
      <w:proofErr w:type="gramStart"/>
      <w:r w:rsidRPr="001B0EBF">
        <w:rPr>
          <w:b/>
        </w:rPr>
        <w:t>г</w:t>
      </w:r>
      <w:proofErr w:type="spellEnd"/>
      <w:proofErr w:type="gramEnd"/>
      <w:r w:rsidRPr="001B0EBF">
        <w:rPr>
          <w:b/>
        </w:rPr>
        <w:t>.</w:t>
      </w:r>
    </w:p>
    <w:p w:rsidR="00E951D0" w:rsidRPr="001B0EBF" w:rsidRDefault="00E951D0" w:rsidP="00E951D0">
      <w:pPr>
        <w:jc w:val="center"/>
        <w:rPr>
          <w:b/>
        </w:rPr>
      </w:pP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369"/>
        <w:gridCol w:w="1946"/>
        <w:gridCol w:w="656"/>
        <w:gridCol w:w="789"/>
        <w:gridCol w:w="487"/>
        <w:gridCol w:w="656"/>
        <w:gridCol w:w="1014"/>
        <w:gridCol w:w="628"/>
        <w:gridCol w:w="789"/>
        <w:gridCol w:w="415"/>
        <w:gridCol w:w="1014"/>
        <w:gridCol w:w="658"/>
        <w:gridCol w:w="789"/>
        <w:gridCol w:w="529"/>
        <w:gridCol w:w="656"/>
        <w:gridCol w:w="1014"/>
        <w:gridCol w:w="628"/>
        <w:gridCol w:w="789"/>
        <w:gridCol w:w="513"/>
        <w:gridCol w:w="1014"/>
      </w:tblGrid>
      <w:tr w:rsidR="00E951D0" w:rsidRPr="001B0EBF" w:rsidTr="00D62EF8">
        <w:trPr>
          <w:trHeight w:val="255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№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07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2023-2028</w:t>
            </w:r>
          </w:p>
        </w:tc>
        <w:tc>
          <w:tcPr>
            <w:tcW w:w="215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2029-2032</w:t>
            </w: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gramStart"/>
            <w:r w:rsidRPr="001B0EBF">
              <w:rPr>
                <w:sz w:val="16"/>
                <w:szCs w:val="16"/>
              </w:rPr>
              <w:t>Строительно монтажные</w:t>
            </w:r>
            <w:proofErr w:type="gramEnd"/>
            <w:r w:rsidRPr="001B0EBF">
              <w:rPr>
                <w:sz w:val="16"/>
                <w:szCs w:val="16"/>
              </w:rPr>
              <w:t xml:space="preserve"> работы 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проектно-сметная документация</w:t>
            </w:r>
          </w:p>
        </w:tc>
      </w:tr>
      <w:tr w:rsidR="00E951D0" w:rsidRPr="001B0EBF" w:rsidTr="00D62EF8">
        <w:trPr>
          <w:trHeight w:val="51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РБ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ОБ (ФБ)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БС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proofErr w:type="spellStart"/>
            <w:r w:rsidRPr="001B0EBF">
              <w:rPr>
                <w:sz w:val="16"/>
                <w:szCs w:val="16"/>
              </w:rPr>
              <w:t>Внебюджет</w:t>
            </w:r>
            <w:proofErr w:type="spellEnd"/>
          </w:p>
        </w:tc>
      </w:tr>
      <w:tr w:rsidR="00E951D0" w:rsidRPr="001B0EBF" w:rsidTr="00D62EF8">
        <w:trPr>
          <w:trHeight w:val="26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b/>
                <w:sz w:val="16"/>
                <w:szCs w:val="16"/>
              </w:rPr>
            </w:pPr>
            <w:r w:rsidRPr="001B0EBF">
              <w:rPr>
                <w:b/>
                <w:sz w:val="16"/>
                <w:szCs w:val="16"/>
              </w:rPr>
              <w:t>Теплоснабжение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940,0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940,0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645,0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645,0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развитие системы теплоснабжения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940,0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940,0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645,0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645,0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Водоснабжение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810,0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810,0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555,0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sz w:val="16"/>
                <w:szCs w:val="16"/>
              </w:rPr>
            </w:pPr>
            <w:r w:rsidRPr="00307669">
              <w:rPr>
                <w:b/>
                <w:sz w:val="16"/>
                <w:szCs w:val="16"/>
              </w:rPr>
              <w:t>555,0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  <w:r w:rsidRPr="001B0EBF">
              <w:rPr>
                <w:bCs/>
                <w:sz w:val="16"/>
                <w:szCs w:val="16"/>
              </w:rPr>
              <w:t>развитие системы водоснабжения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810,0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810,0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555,0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sz w:val="16"/>
                <w:szCs w:val="16"/>
              </w:rPr>
            </w:pPr>
            <w:r w:rsidRPr="00307669">
              <w:rPr>
                <w:sz w:val="16"/>
                <w:szCs w:val="16"/>
              </w:rPr>
              <w:t>555,0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>Установка приборов учета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49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 xml:space="preserve">приборы учета поднятой воды на скважинах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57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  <w:r w:rsidRPr="001B0EBF">
              <w:rPr>
                <w:sz w:val="16"/>
                <w:szCs w:val="16"/>
              </w:rPr>
              <w:t>приборы учета холодной воды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sz w:val="16"/>
                <w:szCs w:val="16"/>
              </w:rPr>
            </w:pPr>
          </w:p>
        </w:tc>
      </w:tr>
      <w:tr w:rsidR="00E951D0" w:rsidRPr="001B0EBF" w:rsidTr="00D62EF8">
        <w:trPr>
          <w:trHeight w:val="255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rPr>
                <w:b/>
                <w:bCs/>
                <w:sz w:val="16"/>
                <w:szCs w:val="16"/>
              </w:rPr>
            </w:pPr>
            <w:r w:rsidRPr="001B0EBF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1750,0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1750,0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1200,0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307669" w:rsidP="00D62EF8">
            <w:pPr>
              <w:jc w:val="center"/>
              <w:rPr>
                <w:b/>
                <w:bCs/>
                <w:sz w:val="16"/>
                <w:szCs w:val="16"/>
              </w:rPr>
            </w:pPr>
            <w:r w:rsidRPr="00307669">
              <w:rPr>
                <w:b/>
                <w:bCs/>
                <w:sz w:val="16"/>
                <w:szCs w:val="16"/>
              </w:rPr>
              <w:t>1200,0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951D0" w:rsidRPr="001B0EBF" w:rsidRDefault="00E951D0" w:rsidP="00D62E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E951D0" w:rsidRDefault="00E951D0" w:rsidP="00E951D0">
      <w:pPr>
        <w:jc w:val="right"/>
        <w:sectPr w:rsidR="00E951D0" w:rsidSect="001B0EBF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1B0EBF" w:rsidRDefault="001B0EBF" w:rsidP="001B0EBF">
      <w:pPr>
        <w:jc w:val="right"/>
      </w:pPr>
    </w:p>
    <w:sectPr w:rsidR="001B0EBF" w:rsidSect="00D63E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A0"/>
    <w:rsid w:val="00051D32"/>
    <w:rsid w:val="0019616D"/>
    <w:rsid w:val="001B0EBF"/>
    <w:rsid w:val="001E359D"/>
    <w:rsid w:val="00264AA0"/>
    <w:rsid w:val="00307669"/>
    <w:rsid w:val="00375C58"/>
    <w:rsid w:val="003E570D"/>
    <w:rsid w:val="00401BE5"/>
    <w:rsid w:val="004C336F"/>
    <w:rsid w:val="00504DA2"/>
    <w:rsid w:val="00573764"/>
    <w:rsid w:val="00600AE3"/>
    <w:rsid w:val="007B6FEB"/>
    <w:rsid w:val="00905A65"/>
    <w:rsid w:val="009676A7"/>
    <w:rsid w:val="00C875A2"/>
    <w:rsid w:val="00C93E4D"/>
    <w:rsid w:val="00D63EB1"/>
    <w:rsid w:val="00E56937"/>
    <w:rsid w:val="00E951D0"/>
    <w:rsid w:val="00EC01E3"/>
    <w:rsid w:val="00F5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USER</cp:lastModifiedBy>
  <cp:revision>18</cp:revision>
  <cp:lastPrinted>2019-11-13T09:54:00Z</cp:lastPrinted>
  <dcterms:created xsi:type="dcterms:W3CDTF">2013-04-29T03:32:00Z</dcterms:created>
  <dcterms:modified xsi:type="dcterms:W3CDTF">2019-11-13T09:55:00Z</dcterms:modified>
</cp:coreProperties>
</file>